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45E7D" w14:textId="0E12CEEC"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0E0F57">
        <w:rPr>
          <w:rFonts w:ascii="Arial" w:hAnsi="Arial" w:cs="Arial"/>
          <w:b/>
          <w:bCs/>
          <w:sz w:val="24"/>
          <w:szCs w:val="24"/>
        </w:rPr>
        <w:t>4</w:t>
      </w:r>
      <w:r w:rsidR="002262C8">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D7CC6">
        <w:rPr>
          <w:rFonts w:ascii="Arial" w:hAnsi="Arial"/>
          <w:sz w:val="24"/>
          <w:szCs w:val="24"/>
        </w:rPr>
        <w:t xml:space="preserve"> </w:t>
      </w:r>
      <w:r w:rsidR="00DB220F">
        <w:rPr>
          <w:rFonts w:ascii="Arial" w:hAnsi="Arial"/>
          <w:sz w:val="24"/>
          <w:szCs w:val="24"/>
        </w:rPr>
        <w:t xml:space="preserve"> </w:t>
      </w:r>
      <w:r>
        <w:rPr>
          <w:rFonts w:ascii="Arial" w:hAnsi="Arial"/>
          <w:b/>
          <w:sz w:val="24"/>
          <w:szCs w:val="24"/>
        </w:rPr>
        <w:t>R1-2</w:t>
      </w:r>
      <w:r w:rsidR="00E333D9">
        <w:rPr>
          <w:rFonts w:ascii="Arial" w:hAnsi="Arial"/>
          <w:b/>
          <w:sz w:val="24"/>
          <w:szCs w:val="24"/>
        </w:rPr>
        <w:t>30</w:t>
      </w:r>
      <w:r w:rsidR="00EB5E2C">
        <w:rPr>
          <w:rFonts w:ascii="Arial" w:hAnsi="Arial"/>
          <w:b/>
          <w:sz w:val="24"/>
          <w:szCs w:val="24"/>
        </w:rPr>
        <w:t>9382</w:t>
      </w:r>
    </w:p>
    <w:p w14:paraId="618D5AAC" w14:textId="7A639D5B" w:rsidR="00E53CE1" w:rsidRPr="00DB3EA1" w:rsidRDefault="002262C8" w:rsidP="00AA1FD6">
      <w:pPr>
        <w:pStyle w:val="Header"/>
        <w:spacing w:after="240"/>
        <w:rPr>
          <w:noProof w:val="0"/>
          <w:sz w:val="24"/>
          <w:szCs w:val="24"/>
          <w:lang w:val="en-US"/>
        </w:rPr>
      </w:pPr>
      <w:r>
        <w:rPr>
          <w:rFonts w:cs="Arial"/>
          <w:bCs/>
          <w:sz w:val="24"/>
          <w:szCs w:val="24"/>
          <w:lang w:val="en-US" w:eastAsia="ja-JP"/>
        </w:rPr>
        <w:t>Xiamen</w:t>
      </w:r>
      <w:r w:rsidR="00AA1FD6">
        <w:rPr>
          <w:rFonts w:cs="Arial"/>
          <w:bCs/>
          <w:sz w:val="24"/>
          <w:szCs w:val="24"/>
          <w:lang w:val="en-US" w:eastAsia="ja-JP"/>
        </w:rPr>
        <w:t>,</w:t>
      </w:r>
      <w:r w:rsidR="00AA1FD6" w:rsidRPr="00AC5C30">
        <w:rPr>
          <w:rFonts w:cs="Arial"/>
          <w:bCs/>
          <w:sz w:val="24"/>
          <w:szCs w:val="24"/>
          <w:lang w:val="en-US"/>
        </w:rPr>
        <w:t xml:space="preserve"> </w:t>
      </w:r>
      <w:bookmarkEnd w:id="0"/>
      <w:r>
        <w:rPr>
          <w:rFonts w:cs="Arial"/>
          <w:bCs/>
          <w:sz w:val="24"/>
          <w:szCs w:val="24"/>
          <w:lang w:val="en-US"/>
        </w:rPr>
        <w:t>China</w:t>
      </w:r>
      <w:r w:rsidR="008431AD">
        <w:rPr>
          <w:rFonts w:cs="Arial"/>
          <w:bCs/>
          <w:sz w:val="24"/>
          <w:szCs w:val="24"/>
          <w:lang w:val="en-US"/>
        </w:rPr>
        <w:t>,</w:t>
      </w:r>
      <w:r w:rsidR="005C36D9">
        <w:rPr>
          <w:rFonts w:cs="Arial"/>
          <w:bCs/>
          <w:sz w:val="24"/>
          <w:szCs w:val="24"/>
          <w:lang w:val="en-US"/>
        </w:rPr>
        <w:t xml:space="preserve"> </w:t>
      </w:r>
      <w:r>
        <w:rPr>
          <w:rFonts w:cs="Arial"/>
          <w:bCs/>
          <w:sz w:val="24"/>
          <w:szCs w:val="24"/>
          <w:lang w:val="en-US"/>
        </w:rPr>
        <w:t>October</w:t>
      </w:r>
      <w:r w:rsidR="00AA1FD6">
        <w:rPr>
          <w:rFonts w:cs="Arial"/>
          <w:bCs/>
          <w:sz w:val="24"/>
          <w:szCs w:val="24"/>
          <w:lang w:eastAsia="ja-JP"/>
        </w:rPr>
        <w:t xml:space="preserve"> </w:t>
      </w:r>
      <w:r>
        <w:rPr>
          <w:rFonts w:cs="Arial"/>
          <w:bCs/>
          <w:sz w:val="24"/>
          <w:szCs w:val="24"/>
          <w:lang w:eastAsia="ja-JP"/>
        </w:rPr>
        <w:t>9</w:t>
      </w:r>
      <w:r w:rsidRPr="002262C8">
        <w:rPr>
          <w:rFonts w:cs="Arial"/>
          <w:bCs/>
          <w:sz w:val="24"/>
          <w:szCs w:val="24"/>
          <w:vertAlign w:val="superscript"/>
          <w:lang w:eastAsia="ja-JP"/>
        </w:rPr>
        <w:t>th</w:t>
      </w:r>
      <w:r w:rsidR="00AA1FD6" w:rsidRPr="00AC5C30">
        <w:rPr>
          <w:rFonts w:cs="Arial"/>
          <w:bCs/>
          <w:sz w:val="24"/>
          <w:szCs w:val="24"/>
          <w:lang w:eastAsia="ja-JP"/>
        </w:rPr>
        <w:t xml:space="preserve"> –</w:t>
      </w:r>
      <w:r w:rsidR="00336357">
        <w:rPr>
          <w:rFonts w:cs="Arial"/>
          <w:bCs/>
          <w:sz w:val="24"/>
          <w:szCs w:val="24"/>
          <w:lang w:eastAsia="ja-JP"/>
        </w:rPr>
        <w:t xml:space="preserve"> </w:t>
      </w:r>
      <w:r>
        <w:rPr>
          <w:rFonts w:cs="Arial"/>
          <w:bCs/>
          <w:sz w:val="24"/>
          <w:szCs w:val="24"/>
          <w:lang w:eastAsia="ja-JP"/>
        </w:rPr>
        <w:t>14</w:t>
      </w:r>
      <w:r w:rsidR="001354D5" w:rsidRPr="001354D5">
        <w:rPr>
          <w:rFonts w:cs="Arial"/>
          <w:bCs/>
          <w:sz w:val="24"/>
          <w:szCs w:val="24"/>
          <w:vertAlign w:val="superscript"/>
          <w:lang w:eastAsia="ja-JP"/>
        </w:rPr>
        <w:t>th</w:t>
      </w:r>
      <w:r w:rsidR="00AA1FD6" w:rsidRPr="00AC5C30">
        <w:rPr>
          <w:rFonts w:cs="Arial"/>
          <w:bCs/>
          <w:noProof w:val="0"/>
          <w:sz w:val="24"/>
          <w:szCs w:val="24"/>
          <w:lang w:val="en-US"/>
        </w:rPr>
        <w:t>,</w:t>
      </w:r>
      <w:r w:rsidR="00AA1FD6">
        <w:rPr>
          <w:rFonts w:cs="Arial"/>
          <w:bCs/>
          <w:noProof w:val="0"/>
          <w:sz w:val="24"/>
          <w:szCs w:val="24"/>
          <w:lang w:val="en-US"/>
        </w:rPr>
        <w:t xml:space="preserve"> </w:t>
      </w:r>
      <w:r w:rsidR="00E53CE1" w:rsidRPr="00AC5C30">
        <w:rPr>
          <w:rFonts w:cs="Arial"/>
          <w:bCs/>
          <w:noProof w:val="0"/>
          <w:sz w:val="24"/>
          <w:szCs w:val="24"/>
          <w:lang w:val="en-US"/>
        </w:rPr>
        <w:t>202</w:t>
      </w:r>
      <w:r w:rsidR="00E333D9">
        <w:rPr>
          <w:rFonts w:cs="Arial"/>
          <w:bCs/>
          <w:noProof w:val="0"/>
          <w:sz w:val="24"/>
          <w:szCs w:val="24"/>
          <w:lang w:val="en-US"/>
        </w:rPr>
        <w:t>3</w:t>
      </w:r>
    </w:p>
    <w:p w14:paraId="470E37BB" w14:textId="3C7EA24B"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AB19E9">
        <w:rPr>
          <w:rFonts w:ascii="Arial" w:eastAsia="Malgun Gothic" w:hAnsi="Arial"/>
          <w:sz w:val="24"/>
          <w:szCs w:val="24"/>
          <w:lang w:eastAsia="ko-KR"/>
        </w:rPr>
        <w:t>8</w:t>
      </w:r>
      <w:r w:rsidRPr="00DB3EA1">
        <w:rPr>
          <w:rFonts w:ascii="Arial" w:eastAsia="Malgun Gothic" w:hAnsi="Arial"/>
          <w:sz w:val="24"/>
          <w:szCs w:val="24"/>
          <w:lang w:eastAsia="ko-KR"/>
        </w:rPr>
        <w:t>.</w:t>
      </w:r>
      <w:r w:rsidR="00E333D9">
        <w:rPr>
          <w:rFonts w:ascii="Arial" w:eastAsia="Malgun Gothic"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76D34BEF"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2262C8">
        <w:rPr>
          <w:rFonts w:ascii="Arial" w:eastAsia="Malgun Gothic" w:hAnsi="Arial" w:cs="Arial"/>
          <w:sz w:val="24"/>
          <w:lang w:eastAsia="ko-KR"/>
        </w:rPr>
        <w:t>Maintenance</w:t>
      </w:r>
      <w:r w:rsidR="005D67CB">
        <w:rPr>
          <w:rFonts w:ascii="Arial" w:eastAsia="Malgun Gothic" w:hAnsi="Arial" w:cs="Arial"/>
          <w:sz w:val="24"/>
          <w:lang w:eastAsia="ko-KR"/>
        </w:rPr>
        <w:t xml:space="preserve"> </w:t>
      </w:r>
      <w:r w:rsidR="000D6475">
        <w:rPr>
          <w:rFonts w:ascii="Arial" w:eastAsia="Malgun Gothic" w:hAnsi="Arial" w:cs="Arial"/>
          <w:sz w:val="24"/>
          <w:lang w:eastAsia="ko-KR"/>
        </w:rPr>
        <w:t>for XR</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1317DA15" w14:textId="6E2C9AE0" w:rsidR="00AB3CBB" w:rsidRPr="004D321C" w:rsidRDefault="00B3093E" w:rsidP="000E0F57">
      <w:pPr>
        <w:spacing w:after="0" w:line="240" w:lineRule="auto"/>
        <w:jc w:val="both"/>
        <w:rPr>
          <w:rFonts w:cs="Arial"/>
          <w:szCs w:val="18"/>
          <w:lang w:eastAsia="ja-JP"/>
        </w:rPr>
      </w:pPr>
      <w:r>
        <w:rPr>
          <w:lang w:eastAsia="ko-KR"/>
        </w:rPr>
        <w:t xml:space="preserve">In </w:t>
      </w:r>
      <w:r w:rsidR="002262C8">
        <w:rPr>
          <w:lang w:eastAsia="ko-KR"/>
        </w:rPr>
        <w:t xml:space="preserve">WI on XR </w:t>
      </w:r>
      <w:r w:rsidR="00693DF4">
        <w:rPr>
          <w:lang w:eastAsia="ko-KR"/>
        </w:rPr>
        <w:t xml:space="preserve">was </w:t>
      </w:r>
      <w:r w:rsidR="002262C8">
        <w:rPr>
          <w:lang w:eastAsia="ko-KR"/>
        </w:rPr>
        <w:t>co</w:t>
      </w:r>
      <w:r w:rsidR="00693DF4">
        <w:rPr>
          <w:lang w:eastAsia="ko-KR"/>
        </w:rPr>
        <w:t>ncluded</w:t>
      </w:r>
      <w:r w:rsidR="002262C8">
        <w:rPr>
          <w:lang w:eastAsia="ko-KR"/>
        </w:rPr>
        <w:t xml:space="preserve"> in RAN1#114 by co</w:t>
      </w:r>
      <w:r w:rsidR="00693DF4">
        <w:rPr>
          <w:lang w:eastAsia="ko-KR"/>
        </w:rPr>
        <w:t>mpleting</w:t>
      </w:r>
      <w:r w:rsidR="002262C8">
        <w:rPr>
          <w:lang w:eastAsia="ko-KR"/>
        </w:rPr>
        <w:t xml:space="preserve"> all functionalities for the support of </w:t>
      </w:r>
      <w:r w:rsidR="002262C8">
        <w:t>“multi-PUSCH CG”</w:t>
      </w:r>
      <w:r w:rsidR="002262C8">
        <w:rPr>
          <w:lang w:eastAsia="ko-KR"/>
        </w:rPr>
        <w:t xml:space="preserve"> transmissions. This contribution considers a few maintenance issues for those functionalities</w:t>
      </w:r>
      <w:r w:rsidR="00040DF5">
        <w:rPr>
          <w:lang w:eastAsia="ko-KR"/>
        </w:rPr>
        <w:t>.</w:t>
      </w:r>
    </w:p>
    <w:p w14:paraId="2A16DF82" w14:textId="30D2C841" w:rsidR="00AA0B8B" w:rsidRDefault="00AA0B8B" w:rsidP="00040DF5">
      <w:pPr>
        <w:snapToGrid w:val="0"/>
        <w:spacing w:after="0" w:line="240" w:lineRule="auto"/>
        <w:jc w:val="both"/>
        <w:rPr>
          <w:lang w:eastAsia="ko-KR"/>
        </w:rPr>
      </w:pPr>
    </w:p>
    <w:p w14:paraId="6C988CDB" w14:textId="77777777" w:rsidR="002262C8" w:rsidRPr="001120A9" w:rsidRDefault="002262C8" w:rsidP="00040DF5">
      <w:pPr>
        <w:snapToGrid w:val="0"/>
        <w:spacing w:after="0" w:line="240" w:lineRule="auto"/>
        <w:jc w:val="both"/>
        <w:rPr>
          <w:lang w:eastAsia="ko-KR"/>
        </w:rPr>
      </w:pPr>
    </w:p>
    <w:p w14:paraId="1AD2B9D9" w14:textId="48942C9C" w:rsidR="00720C1A" w:rsidRPr="000E0F57" w:rsidRDefault="002262C8" w:rsidP="000E0F57">
      <w:pPr>
        <w:pStyle w:val="Heading1"/>
        <w:pBdr>
          <w:top w:val="single" w:sz="12" w:space="2" w:color="auto"/>
        </w:pBdr>
        <w:spacing w:before="0" w:after="60"/>
        <w:ind w:left="432" w:hanging="432"/>
        <w:jc w:val="both"/>
        <w:rPr>
          <w:rFonts w:eastAsia="SimSun" w:cs="Arial"/>
          <w:sz w:val="32"/>
          <w:szCs w:val="18"/>
          <w:lang w:eastAsia="zh-CN"/>
        </w:rPr>
      </w:pPr>
      <w:r>
        <w:rPr>
          <w:rFonts w:eastAsia="SimSun" w:cs="Arial"/>
          <w:sz w:val="32"/>
          <w:szCs w:val="18"/>
          <w:lang w:eastAsia="zh-CN"/>
        </w:rPr>
        <w:t>Maintenance Issues</w:t>
      </w:r>
    </w:p>
    <w:p w14:paraId="536259DC" w14:textId="193FC392" w:rsidR="00693DF4" w:rsidRDefault="00C95C65" w:rsidP="00C772CC">
      <w:pPr>
        <w:snapToGrid w:val="0"/>
        <w:spacing w:after="0" w:line="240" w:lineRule="auto"/>
        <w:jc w:val="both"/>
      </w:pPr>
      <w:r>
        <w:t xml:space="preserve">A UE multiplexes </w:t>
      </w:r>
      <w:r w:rsidR="002262C8">
        <w:t>UTO-UCI</w:t>
      </w:r>
      <w:r w:rsidR="00693DF4">
        <w:t xml:space="preserve"> in a CG-PUSCH associated with the </w:t>
      </w:r>
      <w:r w:rsidR="0077784D">
        <w:t xml:space="preserve">CG </w:t>
      </w:r>
      <w:r w:rsidR="00693DF4">
        <w:t xml:space="preserve">configuration for which the UTO-UCI indicates used/unused TOs for CG-PUSCH transmissions. Also, UTO-UCI is multiplexed </w:t>
      </w:r>
      <w:r>
        <w:t>in a same manner as</w:t>
      </w:r>
      <w:r w:rsidR="00693DF4">
        <w:t xml:space="preserve"> </w:t>
      </w:r>
      <w:r w:rsidR="0077784D">
        <w:t>CG-UCI</w:t>
      </w:r>
      <w:r>
        <w:t>.</w:t>
      </w:r>
      <w:r w:rsidR="00693DF4">
        <w:t xml:space="preserve"> </w:t>
      </w:r>
      <w:r>
        <w:t>Further, for multiplexing/encoding purposes,</w:t>
      </w:r>
      <w:r w:rsidR="00693DF4">
        <w:t xml:space="preserve"> </w:t>
      </w:r>
      <w:r>
        <w:t>if the</w:t>
      </w:r>
      <w:r w:rsidR="00693DF4">
        <w:t xml:space="preserve"> UE </w:t>
      </w:r>
      <w:r>
        <w:t xml:space="preserve">additionally </w:t>
      </w:r>
      <w:r w:rsidR="00693DF4">
        <w:t xml:space="preserve">multiplexes </w:t>
      </w:r>
      <w:r>
        <w:t>HARQ-ACK in the CG-PUSCH</w:t>
      </w:r>
      <w:r w:rsidR="00693DF4">
        <w:t xml:space="preserve">, UTO-UCI </w:t>
      </w:r>
      <w:r>
        <w:t>and</w:t>
      </w:r>
      <w:r w:rsidR="00693DF4">
        <w:t xml:space="preserve"> HARQ-ACK </w:t>
      </w:r>
      <w:r>
        <w:t xml:space="preserve">are considered same UCI </w:t>
      </w:r>
      <w:r w:rsidR="00693DF4">
        <w:t>for the corresponding priority</w:t>
      </w:r>
      <w:r w:rsidR="0077784D">
        <w:t xml:space="preserve"> (same as for the CG-PUSCH)</w:t>
      </w:r>
      <w:r w:rsidR="00693DF4">
        <w:t>.</w:t>
      </w:r>
      <w:r w:rsidR="0077784D">
        <w:t xml:space="preserve"> Those agreements mean that no additional consideration is needed for the case of overlapping among PUCCHs/PUSCHs with different priorities. That will also not cause any operational issues as, in case a UE can have transmissions with different priorities, CG-PUSCHs used for low latency/high reliability video traffic will typically have the higher priority.</w:t>
      </w:r>
      <w:r>
        <w:t xml:space="preserve"> Therefore, similar to CG-UCI, there is no need to consider moving the multiplexing of UTO-UCI into another PUSCH or into a PUCCH.</w:t>
      </w:r>
      <w:r w:rsidR="0077784D">
        <w:t xml:space="preserve">  </w:t>
      </w:r>
    </w:p>
    <w:p w14:paraId="767D2E36" w14:textId="77777777" w:rsidR="0077784D" w:rsidRDefault="0077784D" w:rsidP="00C772CC">
      <w:pPr>
        <w:snapToGrid w:val="0"/>
        <w:spacing w:after="0" w:line="240" w:lineRule="auto"/>
        <w:jc w:val="both"/>
      </w:pPr>
    </w:p>
    <w:p w14:paraId="70D8D9C0" w14:textId="60F4A34D" w:rsidR="00C95C65" w:rsidRPr="004E254A" w:rsidRDefault="00C95C65" w:rsidP="00C95C65">
      <w:pPr>
        <w:snapToGrid w:val="0"/>
        <w:spacing w:after="0" w:line="240" w:lineRule="auto"/>
        <w:jc w:val="both"/>
        <w:rPr>
          <w:rFonts w:eastAsiaTheme="minorEastAsia"/>
          <w:i/>
          <w:iCs/>
          <w:u w:val="single"/>
          <w:lang w:eastAsia="zh-CN"/>
        </w:rPr>
      </w:pPr>
      <w:r>
        <w:rPr>
          <w:rFonts w:eastAsiaTheme="minorEastAsia"/>
          <w:b/>
          <w:bCs/>
          <w:u w:val="single"/>
          <w:lang w:eastAsia="zh-CN"/>
        </w:rPr>
        <w:t>Observation 1</w:t>
      </w:r>
      <w:r w:rsidRPr="00097AA2">
        <w:rPr>
          <w:rFonts w:eastAsiaTheme="minorEastAsia"/>
          <w:b/>
          <w:bCs/>
          <w:u w:val="single"/>
          <w:lang w:eastAsia="zh-CN"/>
        </w:rPr>
        <w:t xml:space="preserve">: </w:t>
      </w:r>
      <w:r>
        <w:rPr>
          <w:rFonts w:eastAsiaTheme="minorEastAsia"/>
          <w:b/>
          <w:bCs/>
          <w:u w:val="single"/>
          <w:lang w:eastAsia="zh-CN"/>
        </w:rPr>
        <w:t xml:space="preserve"> </w:t>
      </w:r>
      <w:r>
        <w:rPr>
          <w:rFonts w:eastAsiaTheme="minorEastAsia"/>
          <w:i/>
          <w:iCs/>
          <w:u w:val="single"/>
          <w:lang w:eastAsia="zh-CN"/>
        </w:rPr>
        <w:t>Existing specifications for UTO-UCI multiplexing are complete including the case of overlapping among PUSCHs/PUCCHs with different priorities</w:t>
      </w:r>
      <w:r w:rsidRPr="004E254A">
        <w:rPr>
          <w:rFonts w:eastAsiaTheme="minorEastAsia"/>
          <w:i/>
          <w:iCs/>
          <w:u w:val="single"/>
          <w:lang w:eastAsia="zh-CN"/>
        </w:rPr>
        <w:t>.</w:t>
      </w:r>
    </w:p>
    <w:p w14:paraId="7DB4E158" w14:textId="77777777" w:rsidR="00C95C65" w:rsidRDefault="00C95C65" w:rsidP="00C772CC">
      <w:pPr>
        <w:snapToGrid w:val="0"/>
        <w:spacing w:after="0" w:line="240" w:lineRule="auto"/>
        <w:jc w:val="both"/>
      </w:pPr>
    </w:p>
    <w:p w14:paraId="719A6647" w14:textId="77777777" w:rsidR="00287497" w:rsidRDefault="00287497" w:rsidP="00945B73">
      <w:pPr>
        <w:snapToGrid w:val="0"/>
        <w:spacing w:after="0" w:line="240" w:lineRule="auto"/>
        <w:jc w:val="both"/>
      </w:pPr>
    </w:p>
    <w:p w14:paraId="0AC9FC38" w14:textId="6B476F57" w:rsidR="009F3701" w:rsidRDefault="00CD6038" w:rsidP="00B7270A">
      <w:pPr>
        <w:snapToGrid w:val="0"/>
        <w:spacing w:after="0" w:line="240" w:lineRule="auto"/>
        <w:jc w:val="both"/>
      </w:pPr>
      <w:r>
        <w:t>The jitter associated with the generation of traffic for video coders means that associated CG-PUSCH transmissions from a UE can occur at any TO. That is not known in advance and can be different in different periods.</w:t>
      </w:r>
      <w:r w:rsidR="00625433">
        <w:t xml:space="preserve"> Haptic traffic would also have similar characteristics for non-deterministic TOs with CG-PUSCH transmissions.</w:t>
      </w:r>
      <w:r>
        <w:t xml:space="preserve"> </w:t>
      </w:r>
      <w:r w:rsidR="00625433">
        <w:t>Additionally, t</w:t>
      </w:r>
      <w:r>
        <w:t>he U</w:t>
      </w:r>
      <w:r w:rsidR="00625433">
        <w:t>E</w:t>
      </w:r>
      <w:r>
        <w:t xml:space="preserve"> has CG-PUSCH transmissions associated with other CG configurations </w:t>
      </w:r>
      <w:r w:rsidR="00625433">
        <w:t xml:space="preserve">with different periodicities </w:t>
      </w:r>
      <w:r>
        <w:t>for audio or pose/control information. The above mean that collisions among CG-PUSCH transmissions associated with video, audio, and pose/control information are not possible to avoid even in FDD</w:t>
      </w:r>
      <w:r w:rsidR="00D713E8">
        <w:t xml:space="preserve"> (unless detrimental restrictions are assumed, TOs for CG-PUSCH transmissions associated with different CG configurations would overlap in a slot)</w:t>
      </w:r>
      <w:r>
        <w:t xml:space="preserve">. </w:t>
      </w:r>
    </w:p>
    <w:p w14:paraId="2D02768F" w14:textId="77777777" w:rsidR="009F3701" w:rsidRDefault="009F3701" w:rsidP="00B7270A">
      <w:pPr>
        <w:snapToGrid w:val="0"/>
        <w:spacing w:after="0" w:line="240" w:lineRule="auto"/>
        <w:jc w:val="both"/>
      </w:pPr>
    </w:p>
    <w:p w14:paraId="4244D045" w14:textId="67FA6932" w:rsidR="00CD6038" w:rsidRDefault="00CD6038" w:rsidP="00451CD4">
      <w:pPr>
        <w:snapToGrid w:val="0"/>
        <w:spacing w:after="0" w:line="240" w:lineRule="auto"/>
        <w:jc w:val="both"/>
      </w:pPr>
      <w:r>
        <w:t xml:space="preserve">One way to avoid the collisions can be to rely on the UE implementation to </w:t>
      </w:r>
      <w:r w:rsidR="00BC621B">
        <w:t>resolve the collisions and determine the CG-PUSCH to transmit. For example, a UE can prioritize video traffic over audio traffic. However, if the gNB does not know the UE behavior, the gNB will have to be designed to receive each of the overlapping CG-PUSCHs that can have different MCS or non-identical TDRA/FDRA. That is undesirable and unnecessary. The situation is similar to the one for SPS PDSCH transmission in Rel-16 IIoT where a collision resolution procedure is defined based on the index of each configuration and can be directly reused for collisions of CG-PUSCH transmissions.</w:t>
      </w:r>
    </w:p>
    <w:p w14:paraId="3A0C1AEC" w14:textId="77777777" w:rsidR="00B7270A" w:rsidRDefault="00B7270A" w:rsidP="00451CD4">
      <w:pPr>
        <w:snapToGrid w:val="0"/>
        <w:spacing w:after="0" w:line="240" w:lineRule="auto"/>
        <w:jc w:val="both"/>
      </w:pPr>
    </w:p>
    <w:p w14:paraId="2BB45571" w14:textId="1470B382" w:rsidR="00B7270A" w:rsidRDefault="00B7270A" w:rsidP="00F16D3B">
      <w:pPr>
        <w:snapToGrid w:val="0"/>
        <w:spacing w:after="0" w:line="240" w:lineRule="auto"/>
        <w:jc w:val="both"/>
        <w:rPr>
          <w:rFonts w:eastAsiaTheme="minorEastAsia"/>
          <w:b/>
          <w:bCs/>
          <w:u w:val="single"/>
          <w:lang w:eastAsia="zh-CN"/>
        </w:rPr>
      </w:pPr>
      <w:r w:rsidRPr="00DF3BE9">
        <w:rPr>
          <w:rFonts w:eastAsiaTheme="minorEastAsia"/>
          <w:b/>
          <w:bCs/>
          <w:u w:val="single"/>
          <w:lang w:eastAsia="zh-CN"/>
        </w:rPr>
        <w:t xml:space="preserve">Proposal </w:t>
      </w:r>
      <w:r w:rsidR="00BC621B">
        <w:rPr>
          <w:rFonts w:eastAsiaTheme="minorEastAsia"/>
          <w:b/>
          <w:bCs/>
          <w:u w:val="single"/>
          <w:lang w:eastAsia="zh-CN"/>
        </w:rPr>
        <w:t>1</w:t>
      </w:r>
      <w:r w:rsidRPr="00DF3BE9">
        <w:rPr>
          <w:rFonts w:eastAsiaTheme="minorEastAsia"/>
          <w:b/>
          <w:bCs/>
          <w:u w:val="single"/>
          <w:lang w:eastAsia="zh-CN"/>
        </w:rPr>
        <w:t xml:space="preserve">: </w:t>
      </w:r>
      <w:r w:rsidR="00BC621B">
        <w:rPr>
          <w:rFonts w:eastAsiaTheme="minorEastAsia"/>
          <w:b/>
          <w:bCs/>
          <w:u w:val="single"/>
          <w:lang w:eastAsia="zh-CN"/>
        </w:rPr>
        <w:t>Extend the</w:t>
      </w:r>
      <w:r>
        <w:rPr>
          <w:rFonts w:eastAsiaTheme="minorEastAsia"/>
          <w:b/>
          <w:bCs/>
          <w:u w:val="single"/>
          <w:lang w:eastAsia="zh-CN"/>
        </w:rPr>
        <w:t xml:space="preserve"> collision resolution procedure for </w:t>
      </w:r>
      <w:r w:rsidR="00BC621B">
        <w:rPr>
          <w:rFonts w:eastAsiaTheme="minorEastAsia"/>
          <w:b/>
          <w:bCs/>
          <w:u w:val="single"/>
          <w:lang w:eastAsia="zh-CN"/>
        </w:rPr>
        <w:t xml:space="preserve">SPS PDSCHs to </w:t>
      </w:r>
      <w:r>
        <w:rPr>
          <w:rFonts w:eastAsiaTheme="minorEastAsia"/>
          <w:b/>
          <w:bCs/>
          <w:u w:val="single"/>
          <w:lang w:eastAsia="zh-CN"/>
        </w:rPr>
        <w:t>CG-PUSCHs.</w:t>
      </w:r>
    </w:p>
    <w:p w14:paraId="64B2590F" w14:textId="77777777" w:rsidR="003517FB" w:rsidRDefault="003517FB" w:rsidP="00F16D3B">
      <w:pPr>
        <w:snapToGrid w:val="0"/>
        <w:spacing w:after="0" w:line="240" w:lineRule="auto"/>
        <w:jc w:val="both"/>
      </w:pPr>
    </w:p>
    <w:p w14:paraId="43B2BB37" w14:textId="77777777" w:rsidR="00451CD4" w:rsidRDefault="00451CD4" w:rsidP="00F16D3B">
      <w:pPr>
        <w:snapToGrid w:val="0"/>
        <w:spacing w:after="0" w:line="240" w:lineRule="auto"/>
        <w:jc w:val="both"/>
      </w:pPr>
    </w:p>
    <w:p w14:paraId="60E621B0" w14:textId="422A8E31" w:rsidR="00F16D3B" w:rsidRDefault="00F16D3B" w:rsidP="00F16D3B">
      <w:pPr>
        <w:pStyle w:val="bullet20"/>
        <w:numPr>
          <w:ilvl w:val="1"/>
          <w:numId w:val="0"/>
        </w:numPr>
        <w:snapToGrid w:val="0"/>
        <w:jc w:val="both"/>
        <w:rPr>
          <w:rFonts w:ascii="Times New Roman" w:hAnsi="Times New Roman"/>
          <w:kern w:val="0"/>
          <w:sz w:val="20"/>
          <w:szCs w:val="20"/>
          <w:lang w:val="en-US"/>
        </w:rPr>
      </w:pPr>
      <w:r>
        <w:rPr>
          <w:rFonts w:ascii="Times New Roman" w:hAnsi="Times New Roman"/>
          <w:kern w:val="0"/>
          <w:sz w:val="20"/>
          <w:szCs w:val="20"/>
          <w:lang w:val="en-US"/>
        </w:rPr>
        <w:t>For the maximum number of multi-PUSCH CG configurations per BWP of a serving cell, the following options were identified.</w:t>
      </w:r>
    </w:p>
    <w:tbl>
      <w:tblPr>
        <w:tblStyle w:val="TableGrid"/>
        <w:tblW w:w="0" w:type="auto"/>
        <w:tblLook w:val="04A0" w:firstRow="1" w:lastRow="0" w:firstColumn="1" w:lastColumn="0" w:noHBand="0" w:noVBand="1"/>
      </w:tblPr>
      <w:tblGrid>
        <w:gridCol w:w="9737"/>
      </w:tblGrid>
      <w:tr w:rsidR="00F16D3B" w14:paraId="5E4A378D" w14:textId="77777777" w:rsidTr="005F2E92">
        <w:trPr>
          <w:trHeight w:val="3117"/>
        </w:trPr>
        <w:tc>
          <w:tcPr>
            <w:tcW w:w="15388" w:type="dxa"/>
          </w:tcPr>
          <w:p w14:paraId="77A7374C" w14:textId="77777777" w:rsidR="00F16D3B" w:rsidRPr="00901931" w:rsidRDefault="00F16D3B" w:rsidP="00F16D3B">
            <w:pPr>
              <w:spacing w:after="60" w:line="240" w:lineRule="auto"/>
              <w:rPr>
                <w:highlight w:val="green"/>
                <w:lang w:val="en-GB" w:eastAsia="x-none"/>
              </w:rPr>
            </w:pPr>
            <w:r w:rsidRPr="00901931">
              <w:rPr>
                <w:highlight w:val="green"/>
                <w:lang w:val="en-GB" w:eastAsia="x-none"/>
              </w:rPr>
              <w:lastRenderedPageBreak/>
              <w:t>Agreement</w:t>
            </w:r>
          </w:p>
          <w:p w14:paraId="6501610F" w14:textId="77777777" w:rsidR="00F16D3B" w:rsidRPr="00F16D3B" w:rsidRDefault="00F16D3B" w:rsidP="00F16D3B">
            <w:pPr>
              <w:adjustRightInd w:val="0"/>
              <w:snapToGrid w:val="0"/>
              <w:spacing w:after="60" w:line="240" w:lineRule="auto"/>
              <w:jc w:val="both"/>
              <w:rPr>
                <w:lang w:val="en-GB" w:eastAsia="ja-JP"/>
              </w:rPr>
            </w:pPr>
            <w:r w:rsidRPr="00F16D3B">
              <w:rPr>
                <w:lang w:val="en-GB" w:eastAsia="ja-JP"/>
              </w:rPr>
              <w:t>Select one of the following options:</w:t>
            </w:r>
          </w:p>
          <w:p w14:paraId="00F55F6F" w14:textId="77777777" w:rsidR="00F16D3B" w:rsidRPr="00F16D3B" w:rsidRDefault="00F16D3B" w:rsidP="00F16D3B">
            <w:pPr>
              <w:numPr>
                <w:ilvl w:val="0"/>
                <w:numId w:val="47"/>
              </w:numPr>
              <w:overflowPunct w:val="0"/>
              <w:autoSpaceDE w:val="0"/>
              <w:autoSpaceDN w:val="0"/>
              <w:adjustRightInd w:val="0"/>
              <w:snapToGrid w:val="0"/>
              <w:spacing w:after="60" w:line="240" w:lineRule="auto"/>
              <w:jc w:val="both"/>
              <w:textAlignment w:val="baseline"/>
              <w:rPr>
                <w:rFonts w:eastAsia="Calibri"/>
                <w:lang w:eastAsia="ja-JP"/>
              </w:rPr>
            </w:pPr>
            <w:r w:rsidRPr="00F16D3B">
              <w:rPr>
                <w:rFonts w:eastAsia="Calibri"/>
                <w:lang w:eastAsia="ja-JP"/>
              </w:rPr>
              <w:t>Option 1: Introduce a new capability to indicated maximum number of multi-PUSCH CG configurations (at least 2) per BWP of a serving cell and across all serving cells</w:t>
            </w:r>
          </w:p>
          <w:p w14:paraId="605AD6C6" w14:textId="77777777" w:rsidR="00F16D3B" w:rsidRPr="00F16D3B" w:rsidRDefault="00F16D3B" w:rsidP="00F16D3B">
            <w:pPr>
              <w:numPr>
                <w:ilvl w:val="1"/>
                <w:numId w:val="47"/>
              </w:numPr>
              <w:overflowPunct w:val="0"/>
              <w:autoSpaceDE w:val="0"/>
              <w:autoSpaceDN w:val="0"/>
              <w:adjustRightInd w:val="0"/>
              <w:snapToGrid w:val="0"/>
              <w:spacing w:after="60" w:line="240" w:lineRule="auto"/>
              <w:jc w:val="both"/>
              <w:textAlignment w:val="baseline"/>
              <w:rPr>
                <w:rFonts w:eastAsia="Calibri"/>
                <w:lang w:eastAsia="ja-JP"/>
              </w:rPr>
            </w:pPr>
            <w:r w:rsidRPr="00F16D3B">
              <w:rPr>
                <w:rFonts w:eastAsia="Calibri"/>
                <w:lang w:eastAsia="ja-JP"/>
              </w:rPr>
              <w:t>FG 50-1 as pre-requisite.</w:t>
            </w:r>
          </w:p>
          <w:p w14:paraId="17EE65A4" w14:textId="77777777" w:rsidR="00F16D3B" w:rsidRPr="00F16D3B" w:rsidRDefault="00F16D3B" w:rsidP="00F16D3B">
            <w:pPr>
              <w:numPr>
                <w:ilvl w:val="1"/>
                <w:numId w:val="47"/>
              </w:numPr>
              <w:overflowPunct w:val="0"/>
              <w:autoSpaceDE w:val="0"/>
              <w:autoSpaceDN w:val="0"/>
              <w:adjustRightInd w:val="0"/>
              <w:snapToGrid w:val="0"/>
              <w:spacing w:after="60" w:line="240" w:lineRule="auto"/>
              <w:jc w:val="both"/>
              <w:textAlignment w:val="baseline"/>
              <w:rPr>
                <w:rFonts w:eastAsia="Calibri"/>
                <w:lang w:eastAsia="ja-JP"/>
              </w:rPr>
            </w:pPr>
            <w:r w:rsidRPr="00F16D3B">
              <w:rPr>
                <w:rFonts w:eastAsia="Calibri"/>
                <w:lang w:eastAsia="ja-JP"/>
              </w:rPr>
              <w:t>FG 11-9 NOT as pre-requisite</w:t>
            </w:r>
          </w:p>
          <w:p w14:paraId="2FBDFF40" w14:textId="77777777" w:rsidR="00F16D3B" w:rsidRPr="00F16D3B" w:rsidRDefault="00F16D3B" w:rsidP="00F16D3B">
            <w:pPr>
              <w:numPr>
                <w:ilvl w:val="0"/>
                <w:numId w:val="47"/>
              </w:numPr>
              <w:overflowPunct w:val="0"/>
              <w:autoSpaceDE w:val="0"/>
              <w:autoSpaceDN w:val="0"/>
              <w:adjustRightInd w:val="0"/>
              <w:snapToGrid w:val="0"/>
              <w:spacing w:after="60" w:line="240" w:lineRule="auto"/>
              <w:jc w:val="both"/>
              <w:textAlignment w:val="baseline"/>
              <w:rPr>
                <w:rFonts w:eastAsia="Calibri"/>
                <w:lang w:eastAsia="ja-JP"/>
              </w:rPr>
            </w:pPr>
            <w:r w:rsidRPr="00F16D3B">
              <w:rPr>
                <w:rFonts w:eastAsia="Calibri"/>
                <w:lang w:eastAsia="ja-JP"/>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6F5F658" w14:textId="77777777" w:rsidR="00F16D3B" w:rsidRPr="00F16D3B" w:rsidRDefault="00F16D3B" w:rsidP="00F16D3B">
            <w:pPr>
              <w:numPr>
                <w:ilvl w:val="1"/>
                <w:numId w:val="47"/>
              </w:numPr>
              <w:overflowPunct w:val="0"/>
              <w:autoSpaceDE w:val="0"/>
              <w:autoSpaceDN w:val="0"/>
              <w:adjustRightInd w:val="0"/>
              <w:snapToGrid w:val="0"/>
              <w:spacing w:after="60" w:line="240" w:lineRule="auto"/>
              <w:jc w:val="both"/>
              <w:textAlignment w:val="baseline"/>
              <w:rPr>
                <w:rFonts w:eastAsia="Calibri"/>
                <w:lang w:eastAsia="ja-JP"/>
              </w:rPr>
            </w:pPr>
            <w:r w:rsidRPr="00F16D3B">
              <w:rPr>
                <w:rFonts w:eastAsia="Calibri"/>
                <w:lang w:eastAsia="ja-JP"/>
              </w:rPr>
              <w:t>FG 50-1 as pre-requisite.</w:t>
            </w:r>
          </w:p>
          <w:p w14:paraId="44F85B5F" w14:textId="77777777" w:rsidR="00F16D3B" w:rsidRPr="00F16D3B" w:rsidRDefault="00F16D3B" w:rsidP="00F16D3B">
            <w:pPr>
              <w:numPr>
                <w:ilvl w:val="1"/>
                <w:numId w:val="47"/>
              </w:numPr>
              <w:overflowPunct w:val="0"/>
              <w:autoSpaceDE w:val="0"/>
              <w:autoSpaceDN w:val="0"/>
              <w:adjustRightInd w:val="0"/>
              <w:snapToGrid w:val="0"/>
              <w:spacing w:after="60" w:line="240" w:lineRule="auto"/>
              <w:jc w:val="both"/>
              <w:textAlignment w:val="baseline"/>
              <w:rPr>
                <w:rFonts w:eastAsia="Calibri"/>
                <w:lang w:eastAsia="ja-JP"/>
              </w:rPr>
            </w:pPr>
            <w:r w:rsidRPr="00F16D3B">
              <w:rPr>
                <w:rFonts w:eastAsia="Calibri"/>
                <w:lang w:eastAsia="ja-JP"/>
              </w:rPr>
              <w:t>FG 11-9 as pre-requisite</w:t>
            </w:r>
          </w:p>
          <w:p w14:paraId="06D61758" w14:textId="77777777" w:rsidR="00F16D3B" w:rsidRPr="00901931" w:rsidRDefault="00F16D3B" w:rsidP="00F16D3B">
            <w:pPr>
              <w:numPr>
                <w:ilvl w:val="0"/>
                <w:numId w:val="47"/>
              </w:numPr>
              <w:overflowPunct w:val="0"/>
              <w:autoSpaceDE w:val="0"/>
              <w:autoSpaceDN w:val="0"/>
              <w:adjustRightInd w:val="0"/>
              <w:spacing w:line="240" w:lineRule="auto"/>
              <w:contextualSpacing/>
              <w:jc w:val="both"/>
              <w:textAlignment w:val="baseline"/>
              <w:rPr>
                <w:rFonts w:eastAsia="Calibri"/>
                <w:lang w:eastAsia="ja-JP"/>
              </w:rPr>
            </w:pPr>
            <w:r w:rsidRPr="00F16D3B">
              <w:rPr>
                <w:rFonts w:eastAsia="Calibri"/>
                <w:lang w:eastAsia="ja-JP"/>
              </w:rPr>
              <w:t>Option 3: Maximum number of multi-PUSCH CG configuration per BWP of a serving cell is one.</w:t>
            </w:r>
          </w:p>
        </w:tc>
      </w:tr>
    </w:tbl>
    <w:p w14:paraId="2A40C135" w14:textId="77777777" w:rsidR="00F16D3B" w:rsidRDefault="00F16D3B" w:rsidP="00451CD4">
      <w:pPr>
        <w:snapToGrid w:val="0"/>
        <w:spacing w:after="0" w:line="240" w:lineRule="auto"/>
        <w:jc w:val="both"/>
      </w:pPr>
    </w:p>
    <w:p w14:paraId="4E4654FE" w14:textId="5D1A1A1C" w:rsidR="00F16D3B" w:rsidRDefault="00F16D3B" w:rsidP="00451CD4">
      <w:pPr>
        <w:snapToGrid w:val="0"/>
        <w:spacing w:after="0" w:line="240" w:lineRule="auto"/>
        <w:jc w:val="both"/>
      </w:pPr>
      <w:r>
        <w:t xml:space="preserve">At least for Rel-18, option 3 is sufficient based on the SI and </w:t>
      </w:r>
      <w:r w:rsidR="00D2356F">
        <w:t>the justification for the WI</w:t>
      </w:r>
      <w:r>
        <w:t xml:space="preserve">. As a second preference, option 1 could </w:t>
      </w:r>
      <w:r w:rsidR="006864B0">
        <w:t xml:space="preserve">also </w:t>
      </w:r>
      <w:r>
        <w:t>be acceptable. There is no reason to link the maximum number of multi-PUSCH CG configurations to legacy CG configurations</w:t>
      </w:r>
      <w:r w:rsidR="00D2356F">
        <w:t>,</w:t>
      </w:r>
      <w:r>
        <w:t xml:space="preserve"> </w:t>
      </w:r>
      <w:r w:rsidR="00D2356F">
        <w:t xml:space="preserve">link corresponding FGs, and </w:t>
      </w:r>
      <w:r>
        <w:t xml:space="preserve">therefore option 2 is not justifiable.  </w:t>
      </w:r>
    </w:p>
    <w:p w14:paraId="17548E0C" w14:textId="77777777" w:rsidR="00F16D3B" w:rsidRDefault="00F16D3B" w:rsidP="00451CD4">
      <w:pPr>
        <w:snapToGrid w:val="0"/>
        <w:spacing w:after="0" w:line="240" w:lineRule="auto"/>
        <w:jc w:val="both"/>
      </w:pPr>
    </w:p>
    <w:p w14:paraId="3F74B6A3" w14:textId="0C88B8E9" w:rsidR="00F16D3B" w:rsidRPr="00F16D3B" w:rsidRDefault="00F16D3B" w:rsidP="00F16D3B">
      <w:pPr>
        <w:snapToGrid w:val="0"/>
        <w:spacing w:after="0" w:line="240" w:lineRule="auto"/>
        <w:jc w:val="both"/>
        <w:rPr>
          <w:rFonts w:eastAsiaTheme="minorEastAsia"/>
          <w:b/>
          <w:bCs/>
          <w:u w:val="single"/>
          <w:lang w:eastAsia="zh-CN"/>
        </w:rPr>
      </w:pPr>
      <w:r w:rsidRPr="00F16D3B">
        <w:rPr>
          <w:rFonts w:eastAsiaTheme="minorEastAsia"/>
          <w:b/>
          <w:bCs/>
          <w:u w:val="single"/>
          <w:lang w:eastAsia="zh-CN"/>
        </w:rPr>
        <w:t xml:space="preserve">Proposal 2: The maximum </w:t>
      </w:r>
      <w:r w:rsidRPr="00F16D3B">
        <w:rPr>
          <w:rFonts w:eastAsia="Calibri"/>
          <w:b/>
          <w:bCs/>
          <w:u w:val="single"/>
          <w:lang w:eastAsia="ja-JP"/>
        </w:rPr>
        <w:t>number of multi-PUSCH CG configuration per BWP of a serving cell is one</w:t>
      </w:r>
      <w:r w:rsidRPr="00F16D3B">
        <w:rPr>
          <w:rFonts w:eastAsiaTheme="minorEastAsia"/>
          <w:b/>
          <w:bCs/>
          <w:u w:val="single"/>
          <w:lang w:eastAsia="zh-CN"/>
        </w:rPr>
        <w:t>.</w:t>
      </w:r>
    </w:p>
    <w:p w14:paraId="2A922288" w14:textId="77777777" w:rsidR="00F16D3B" w:rsidRDefault="00F16D3B" w:rsidP="00451CD4">
      <w:pPr>
        <w:snapToGrid w:val="0"/>
        <w:spacing w:after="0" w:line="240" w:lineRule="auto"/>
        <w:jc w:val="both"/>
      </w:pPr>
    </w:p>
    <w:p w14:paraId="31A87F09" w14:textId="77777777" w:rsidR="00F16D3B" w:rsidRDefault="00F16D3B" w:rsidP="00451CD4">
      <w:pPr>
        <w:snapToGrid w:val="0"/>
        <w:spacing w:after="0" w:line="240" w:lineRule="auto"/>
        <w:jc w:val="both"/>
      </w:pPr>
    </w:p>
    <w:p w14:paraId="375891E9" w14:textId="04DC47C7" w:rsidR="00451CD4" w:rsidRDefault="00F16D3B" w:rsidP="00451CD4">
      <w:pPr>
        <w:snapToGrid w:val="0"/>
        <w:spacing w:after="0" w:line="240" w:lineRule="auto"/>
        <w:jc w:val="both"/>
        <w:rPr>
          <w:rFonts w:cs="Arial"/>
          <w:color w:val="000000"/>
        </w:rPr>
      </w:pPr>
      <w:r>
        <w:t>Finally, s</w:t>
      </w:r>
      <w:r w:rsidR="00451CD4">
        <w:t>ince an indication of</w:t>
      </w:r>
      <w:r w:rsidR="00451CD4" w:rsidRPr="00ED4792">
        <w:rPr>
          <w:rFonts w:cs="Arial"/>
          <w:color w:val="000000"/>
        </w:rPr>
        <w:t xml:space="preserve"> CG PUSCH occasion as “unused” </w:t>
      </w:r>
      <w:r w:rsidR="00451CD4">
        <w:rPr>
          <w:rFonts w:cs="Arial"/>
          <w:color w:val="000000"/>
        </w:rPr>
        <w:t>cannot</w:t>
      </w:r>
      <w:r w:rsidR="00451CD4" w:rsidRPr="00ED4792">
        <w:rPr>
          <w:rFonts w:cs="Arial"/>
          <w:color w:val="000000"/>
        </w:rPr>
        <w:t xml:space="preserve"> be</w:t>
      </w:r>
      <w:r w:rsidR="00451CD4">
        <w:rPr>
          <w:rFonts w:cs="Arial"/>
          <w:color w:val="000000"/>
        </w:rPr>
        <w:t xml:space="preserve"> switched</w:t>
      </w:r>
      <w:r w:rsidR="00451CD4" w:rsidRPr="00ED4792">
        <w:rPr>
          <w:rFonts w:cs="Arial"/>
          <w:color w:val="000000"/>
        </w:rPr>
        <w:t xml:space="preserve"> </w:t>
      </w:r>
      <w:r w:rsidR="00451CD4">
        <w:rPr>
          <w:rFonts w:cs="Arial"/>
          <w:color w:val="000000"/>
        </w:rPr>
        <w:t>to</w:t>
      </w:r>
      <w:r w:rsidR="00451CD4" w:rsidRPr="00ED4792">
        <w:rPr>
          <w:rFonts w:cs="Arial"/>
          <w:color w:val="000000"/>
        </w:rPr>
        <w:t xml:space="preserve"> “used</w:t>
      </w:r>
      <w:r w:rsidR="00451CD4">
        <w:rPr>
          <w:rFonts w:cs="Arial"/>
          <w:color w:val="000000"/>
        </w:rPr>
        <w:t>”, when a CG-PUSCH transmission is dropped due to collisions or, more likely, when a respective TB is incorrectly received, a DG-PUSCH transmission with the TB will typically need to be in a same slot as a CG-PUSCH TO and the UE will drop the CG-PUSCH in the TO. If the UE dimensions the number of used TOs based on the packet size and cannot change a previously indicated “unused” TO into a “used” TO in order to compensate for lost “used” TOs, the packet will fail. It should therefore be possible for the UE to indicate a number of “used” CG-PUSCH TOs that is larger than the minimum number of CG-PUSCH TOs the UE requires to provide a packet in a CG-PUSCH period.</w:t>
      </w:r>
    </w:p>
    <w:p w14:paraId="5BE25CA7" w14:textId="6E907709" w:rsidR="00451CD4" w:rsidRDefault="00451CD4" w:rsidP="00451CD4">
      <w:pPr>
        <w:snapToGrid w:val="0"/>
        <w:spacing w:after="0" w:line="240" w:lineRule="auto"/>
        <w:jc w:val="both"/>
        <w:rPr>
          <w:rFonts w:cs="Arial"/>
          <w:color w:val="000000"/>
        </w:rPr>
      </w:pPr>
    </w:p>
    <w:p w14:paraId="595587F0" w14:textId="5B3EC7AF" w:rsidR="00451CD4" w:rsidRPr="004E254A" w:rsidRDefault="00451CD4" w:rsidP="00451CD4">
      <w:pPr>
        <w:snapToGrid w:val="0"/>
        <w:spacing w:after="0" w:line="240" w:lineRule="auto"/>
        <w:jc w:val="both"/>
        <w:rPr>
          <w:rFonts w:eastAsiaTheme="minorEastAsia"/>
          <w:i/>
          <w:iCs/>
          <w:u w:val="single"/>
          <w:lang w:eastAsia="zh-CN"/>
        </w:rPr>
      </w:pPr>
      <w:r>
        <w:rPr>
          <w:rFonts w:eastAsiaTheme="minorEastAsia"/>
          <w:b/>
          <w:bCs/>
          <w:u w:val="single"/>
          <w:lang w:eastAsia="zh-CN"/>
        </w:rPr>
        <w:t>Observation 2</w:t>
      </w:r>
      <w:r w:rsidRPr="00097AA2">
        <w:rPr>
          <w:rFonts w:eastAsiaTheme="minorEastAsia"/>
          <w:b/>
          <w:bCs/>
          <w:u w:val="single"/>
          <w:lang w:eastAsia="zh-CN"/>
        </w:rPr>
        <w:t xml:space="preserve">: </w:t>
      </w:r>
      <w:r>
        <w:rPr>
          <w:rFonts w:eastAsiaTheme="minorEastAsia"/>
          <w:b/>
          <w:bCs/>
          <w:u w:val="single"/>
          <w:lang w:eastAsia="zh-CN"/>
        </w:rPr>
        <w:t xml:space="preserve"> </w:t>
      </w:r>
      <w:r>
        <w:rPr>
          <w:rFonts w:eastAsiaTheme="minorEastAsia"/>
          <w:i/>
          <w:iCs/>
          <w:u w:val="single"/>
          <w:lang w:eastAsia="zh-CN"/>
        </w:rPr>
        <w:t xml:space="preserve">Specification for the </w:t>
      </w:r>
      <w:r w:rsidRPr="00451CD4">
        <w:rPr>
          <w:rFonts w:eastAsiaTheme="minorEastAsia"/>
          <w:i/>
          <w:iCs/>
          <w:u w:val="single"/>
          <w:lang w:eastAsia="zh-CN"/>
        </w:rPr>
        <w:t xml:space="preserve">determination </w:t>
      </w:r>
      <w:r w:rsidRPr="00451CD4">
        <w:rPr>
          <w:i/>
          <w:iCs/>
          <w:u w:val="single"/>
          <w:lang w:eastAsia="ja-JP"/>
        </w:rPr>
        <w:t xml:space="preserve">of “used”/“unused” CG-PUSCH TOs </w:t>
      </w:r>
      <w:r>
        <w:rPr>
          <w:i/>
          <w:iCs/>
          <w:u w:val="single"/>
          <w:lang w:eastAsia="ja-JP"/>
        </w:rPr>
        <w:t xml:space="preserve">is unnecessary, can be detrimental, and should be </w:t>
      </w:r>
      <w:r w:rsidRPr="00451CD4">
        <w:rPr>
          <w:i/>
          <w:iCs/>
          <w:u w:val="single"/>
          <w:lang w:eastAsia="ja-JP"/>
        </w:rPr>
        <w:t>up to the UE implementation</w:t>
      </w:r>
      <w:r w:rsidRPr="00451CD4">
        <w:rPr>
          <w:rFonts w:eastAsiaTheme="minorEastAsia"/>
          <w:i/>
          <w:iCs/>
          <w:u w:val="single"/>
          <w:lang w:eastAsia="zh-CN"/>
        </w:rPr>
        <w:t>.</w:t>
      </w:r>
    </w:p>
    <w:p w14:paraId="7F139CC4" w14:textId="77777777" w:rsidR="003517FB" w:rsidRDefault="003517FB" w:rsidP="003517FB">
      <w:pPr>
        <w:snapToGrid w:val="0"/>
        <w:spacing w:after="60" w:line="240" w:lineRule="auto"/>
        <w:jc w:val="both"/>
      </w:pPr>
    </w:p>
    <w:p w14:paraId="41D9B019" w14:textId="77777777" w:rsidR="00451CD4" w:rsidRPr="003517FB" w:rsidRDefault="00451CD4" w:rsidP="003517FB">
      <w:pPr>
        <w:snapToGrid w:val="0"/>
        <w:spacing w:after="60" w:line="240" w:lineRule="auto"/>
        <w:jc w:val="both"/>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1A54AB9" w14:textId="6461022C"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451CD4">
        <w:rPr>
          <w:lang w:eastAsia="ko-KR"/>
        </w:rPr>
        <w:t>maintenance issues</w:t>
      </w:r>
      <w:r w:rsidR="00005D6F">
        <w:rPr>
          <w:lang w:eastAsia="ko-KR"/>
        </w:rPr>
        <w:t xml:space="preserve"> for supporting “multi-CG PUSCH” and proposes the following</w:t>
      </w:r>
      <w:r w:rsidR="00915EF3">
        <w:rPr>
          <w:lang w:eastAsia="ko-KR"/>
        </w:rPr>
        <w:t>.</w:t>
      </w:r>
    </w:p>
    <w:p w14:paraId="4BAE8406" w14:textId="77777777" w:rsidR="000C093E" w:rsidRDefault="000C093E" w:rsidP="00822B1E">
      <w:pPr>
        <w:spacing w:after="0" w:line="240" w:lineRule="auto"/>
        <w:jc w:val="both"/>
        <w:rPr>
          <w:lang w:eastAsia="ko-KR"/>
        </w:rPr>
      </w:pPr>
    </w:p>
    <w:p w14:paraId="45C8C816" w14:textId="77777777" w:rsidR="00451CD4" w:rsidRDefault="00451CD4" w:rsidP="00451CD4">
      <w:pPr>
        <w:snapToGrid w:val="0"/>
        <w:spacing w:after="0" w:line="240" w:lineRule="auto"/>
        <w:jc w:val="both"/>
        <w:rPr>
          <w:rFonts w:eastAsiaTheme="minorEastAsia"/>
          <w:b/>
          <w:bCs/>
          <w:u w:val="single"/>
          <w:lang w:eastAsia="zh-CN"/>
        </w:rPr>
      </w:pPr>
      <w:r w:rsidRPr="00DF3BE9">
        <w:rPr>
          <w:rFonts w:eastAsiaTheme="minorEastAsia"/>
          <w:b/>
          <w:bCs/>
          <w:u w:val="single"/>
          <w:lang w:eastAsia="zh-CN"/>
        </w:rPr>
        <w:t xml:space="preserve">Proposal </w:t>
      </w:r>
      <w:r>
        <w:rPr>
          <w:rFonts w:eastAsiaTheme="minorEastAsia"/>
          <w:b/>
          <w:bCs/>
          <w:u w:val="single"/>
          <w:lang w:eastAsia="zh-CN"/>
        </w:rPr>
        <w:t>1</w:t>
      </w:r>
      <w:r w:rsidRPr="00DF3BE9">
        <w:rPr>
          <w:rFonts w:eastAsiaTheme="minorEastAsia"/>
          <w:b/>
          <w:bCs/>
          <w:u w:val="single"/>
          <w:lang w:eastAsia="zh-CN"/>
        </w:rPr>
        <w:t xml:space="preserve">: </w:t>
      </w:r>
      <w:r>
        <w:rPr>
          <w:rFonts w:eastAsiaTheme="minorEastAsia"/>
          <w:b/>
          <w:bCs/>
          <w:u w:val="single"/>
          <w:lang w:eastAsia="zh-CN"/>
        </w:rPr>
        <w:t>Extend the collision resolution procedure for SPS PDSCHs to CG-PUSCHs.</w:t>
      </w:r>
    </w:p>
    <w:p w14:paraId="18A052AE" w14:textId="27F27C3F" w:rsidR="00822B1E" w:rsidRDefault="00822B1E" w:rsidP="00822B1E">
      <w:pPr>
        <w:spacing w:after="0" w:line="240" w:lineRule="auto"/>
        <w:jc w:val="both"/>
        <w:rPr>
          <w:lang w:eastAsia="ko-KR"/>
        </w:rPr>
      </w:pPr>
    </w:p>
    <w:p w14:paraId="264D625D" w14:textId="77777777" w:rsidR="001B3458" w:rsidRPr="00F16D3B" w:rsidRDefault="001B3458" w:rsidP="001B3458">
      <w:pPr>
        <w:snapToGrid w:val="0"/>
        <w:spacing w:after="0" w:line="240" w:lineRule="auto"/>
        <w:jc w:val="both"/>
        <w:rPr>
          <w:rFonts w:eastAsiaTheme="minorEastAsia"/>
          <w:b/>
          <w:bCs/>
          <w:u w:val="single"/>
          <w:lang w:eastAsia="zh-CN"/>
        </w:rPr>
      </w:pPr>
      <w:r w:rsidRPr="00F16D3B">
        <w:rPr>
          <w:rFonts w:eastAsiaTheme="minorEastAsia"/>
          <w:b/>
          <w:bCs/>
          <w:u w:val="single"/>
          <w:lang w:eastAsia="zh-CN"/>
        </w:rPr>
        <w:t xml:space="preserve">Proposal 2: The maximum </w:t>
      </w:r>
      <w:r w:rsidRPr="00F16D3B">
        <w:rPr>
          <w:rFonts w:eastAsia="Calibri"/>
          <w:b/>
          <w:bCs/>
          <w:u w:val="single"/>
          <w:lang w:eastAsia="ja-JP"/>
        </w:rPr>
        <w:t>number of multi-PUSCH CG configuration per BWP of a serving cell is one</w:t>
      </w:r>
      <w:r w:rsidRPr="00F16D3B">
        <w:rPr>
          <w:rFonts w:eastAsiaTheme="minorEastAsia"/>
          <w:b/>
          <w:bCs/>
          <w:u w:val="single"/>
          <w:lang w:eastAsia="zh-CN"/>
        </w:rPr>
        <w:t>.</w:t>
      </w:r>
    </w:p>
    <w:p w14:paraId="3E82C638" w14:textId="77777777" w:rsidR="00451CD4" w:rsidRDefault="00451CD4" w:rsidP="00822B1E">
      <w:pPr>
        <w:spacing w:after="0" w:line="240" w:lineRule="auto"/>
        <w:jc w:val="both"/>
        <w:rPr>
          <w:rFonts w:eastAsiaTheme="minorEastAsia"/>
          <w:b/>
          <w:bCs/>
          <w:u w:val="single"/>
          <w:lang w:eastAsia="zh-CN"/>
        </w:rPr>
      </w:pPr>
    </w:p>
    <w:p w14:paraId="3AC43CFE" w14:textId="77777777" w:rsidR="001B3458" w:rsidRDefault="001B3458" w:rsidP="00822B1E">
      <w:pPr>
        <w:spacing w:after="0" w:line="240" w:lineRule="auto"/>
        <w:jc w:val="both"/>
        <w:rPr>
          <w:rFonts w:eastAsiaTheme="minorEastAsia"/>
          <w:b/>
          <w:bCs/>
          <w:u w:val="single"/>
          <w:lang w:eastAsia="zh-CN"/>
        </w:rPr>
      </w:pPr>
    </w:p>
    <w:p w14:paraId="406927BD" w14:textId="62CBC649" w:rsidR="00DA22D3" w:rsidRDefault="00DA22D3" w:rsidP="00822B1E">
      <w:pPr>
        <w:spacing w:after="0" w:line="240" w:lineRule="auto"/>
        <w:jc w:val="both"/>
        <w:rPr>
          <w:lang w:eastAsia="ko-KR"/>
        </w:rPr>
      </w:pPr>
      <w:r>
        <w:rPr>
          <w:lang w:eastAsia="ko-KR"/>
        </w:rPr>
        <w:t>In addition, the following observation</w:t>
      </w:r>
      <w:r w:rsidR="002C0BD4">
        <w:rPr>
          <w:lang w:eastAsia="ko-KR"/>
        </w:rPr>
        <w:t>s</w:t>
      </w:r>
      <w:r w:rsidR="00D3042F">
        <w:rPr>
          <w:lang w:eastAsia="ko-KR"/>
        </w:rPr>
        <w:t xml:space="preserve"> </w:t>
      </w:r>
      <w:r w:rsidR="002C0BD4">
        <w:rPr>
          <w:lang w:eastAsia="ko-KR"/>
        </w:rPr>
        <w:t>are</w:t>
      </w:r>
      <w:r>
        <w:rPr>
          <w:lang w:eastAsia="ko-KR"/>
        </w:rPr>
        <w:t xml:space="preserve"> made. </w:t>
      </w:r>
    </w:p>
    <w:p w14:paraId="3D64E3A5" w14:textId="77777777" w:rsidR="00DA22D3" w:rsidRDefault="00DA22D3" w:rsidP="00822B1E">
      <w:pPr>
        <w:spacing w:after="0" w:line="240" w:lineRule="auto"/>
        <w:jc w:val="both"/>
        <w:rPr>
          <w:lang w:eastAsia="ko-KR"/>
        </w:rPr>
      </w:pPr>
    </w:p>
    <w:p w14:paraId="7619BEE1" w14:textId="77777777" w:rsidR="00451CD4" w:rsidRPr="004E254A" w:rsidRDefault="00451CD4" w:rsidP="00451CD4">
      <w:pPr>
        <w:snapToGrid w:val="0"/>
        <w:spacing w:after="0" w:line="240" w:lineRule="auto"/>
        <w:jc w:val="both"/>
        <w:rPr>
          <w:rFonts w:eastAsiaTheme="minorEastAsia"/>
          <w:i/>
          <w:iCs/>
          <w:u w:val="single"/>
          <w:lang w:eastAsia="zh-CN"/>
        </w:rPr>
      </w:pPr>
      <w:r>
        <w:rPr>
          <w:rFonts w:eastAsiaTheme="minorEastAsia"/>
          <w:b/>
          <w:bCs/>
          <w:u w:val="single"/>
          <w:lang w:eastAsia="zh-CN"/>
        </w:rPr>
        <w:t>Observation 1</w:t>
      </w:r>
      <w:r w:rsidRPr="00097AA2">
        <w:rPr>
          <w:rFonts w:eastAsiaTheme="minorEastAsia"/>
          <w:b/>
          <w:bCs/>
          <w:u w:val="single"/>
          <w:lang w:eastAsia="zh-CN"/>
        </w:rPr>
        <w:t xml:space="preserve">: </w:t>
      </w:r>
      <w:r>
        <w:rPr>
          <w:rFonts w:eastAsiaTheme="minorEastAsia"/>
          <w:b/>
          <w:bCs/>
          <w:u w:val="single"/>
          <w:lang w:eastAsia="zh-CN"/>
        </w:rPr>
        <w:t xml:space="preserve"> </w:t>
      </w:r>
      <w:r>
        <w:rPr>
          <w:rFonts w:eastAsiaTheme="minorEastAsia"/>
          <w:i/>
          <w:iCs/>
          <w:u w:val="single"/>
          <w:lang w:eastAsia="zh-CN"/>
        </w:rPr>
        <w:t>Existing specifications for UTO-UCI multiplexing are complete including the case of overlapping among PUSCHs/PUCCHs with different priorities</w:t>
      </w:r>
      <w:r w:rsidRPr="004E254A">
        <w:rPr>
          <w:rFonts w:eastAsiaTheme="minorEastAsia"/>
          <w:i/>
          <w:iCs/>
          <w:u w:val="single"/>
          <w:lang w:eastAsia="zh-CN"/>
        </w:rPr>
        <w:t>.</w:t>
      </w:r>
    </w:p>
    <w:p w14:paraId="3E7CC9FF" w14:textId="0AB411C8" w:rsidR="0010393E" w:rsidRDefault="0010393E" w:rsidP="00CC52CE">
      <w:pPr>
        <w:spacing w:after="0" w:line="240" w:lineRule="auto"/>
        <w:jc w:val="both"/>
        <w:rPr>
          <w:b/>
        </w:rPr>
      </w:pPr>
    </w:p>
    <w:p w14:paraId="64F57925" w14:textId="77777777" w:rsidR="00451CD4" w:rsidRPr="004E254A" w:rsidRDefault="00451CD4" w:rsidP="00451CD4">
      <w:pPr>
        <w:snapToGrid w:val="0"/>
        <w:spacing w:after="0" w:line="240" w:lineRule="auto"/>
        <w:jc w:val="both"/>
        <w:rPr>
          <w:rFonts w:eastAsiaTheme="minorEastAsia"/>
          <w:i/>
          <w:iCs/>
          <w:u w:val="single"/>
          <w:lang w:eastAsia="zh-CN"/>
        </w:rPr>
      </w:pPr>
      <w:r>
        <w:rPr>
          <w:rFonts w:eastAsiaTheme="minorEastAsia"/>
          <w:b/>
          <w:bCs/>
          <w:u w:val="single"/>
          <w:lang w:eastAsia="zh-CN"/>
        </w:rPr>
        <w:t>Observation 2</w:t>
      </w:r>
      <w:r w:rsidRPr="00097AA2">
        <w:rPr>
          <w:rFonts w:eastAsiaTheme="minorEastAsia"/>
          <w:b/>
          <w:bCs/>
          <w:u w:val="single"/>
          <w:lang w:eastAsia="zh-CN"/>
        </w:rPr>
        <w:t xml:space="preserve">: </w:t>
      </w:r>
      <w:r>
        <w:rPr>
          <w:rFonts w:eastAsiaTheme="minorEastAsia"/>
          <w:b/>
          <w:bCs/>
          <w:u w:val="single"/>
          <w:lang w:eastAsia="zh-CN"/>
        </w:rPr>
        <w:t xml:space="preserve"> </w:t>
      </w:r>
      <w:r>
        <w:rPr>
          <w:rFonts w:eastAsiaTheme="minorEastAsia"/>
          <w:i/>
          <w:iCs/>
          <w:u w:val="single"/>
          <w:lang w:eastAsia="zh-CN"/>
        </w:rPr>
        <w:t xml:space="preserve">Specification for the </w:t>
      </w:r>
      <w:r w:rsidRPr="00451CD4">
        <w:rPr>
          <w:rFonts w:eastAsiaTheme="minorEastAsia"/>
          <w:i/>
          <w:iCs/>
          <w:u w:val="single"/>
          <w:lang w:eastAsia="zh-CN"/>
        </w:rPr>
        <w:t xml:space="preserve">determination </w:t>
      </w:r>
      <w:r w:rsidRPr="00451CD4">
        <w:rPr>
          <w:i/>
          <w:iCs/>
          <w:u w:val="single"/>
          <w:lang w:eastAsia="ja-JP"/>
        </w:rPr>
        <w:t xml:space="preserve">of “used”/“unused” CG-PUSCH TOs </w:t>
      </w:r>
      <w:r>
        <w:rPr>
          <w:i/>
          <w:iCs/>
          <w:u w:val="single"/>
          <w:lang w:eastAsia="ja-JP"/>
        </w:rPr>
        <w:t xml:space="preserve">is unnecessary, can be detrimental, and should be </w:t>
      </w:r>
      <w:r w:rsidRPr="00451CD4">
        <w:rPr>
          <w:i/>
          <w:iCs/>
          <w:u w:val="single"/>
          <w:lang w:eastAsia="ja-JP"/>
        </w:rPr>
        <w:t>up to the UE implementation</w:t>
      </w:r>
      <w:r w:rsidRPr="00451CD4">
        <w:rPr>
          <w:rFonts w:eastAsiaTheme="minorEastAsia"/>
          <w:i/>
          <w:iCs/>
          <w:u w:val="single"/>
          <w:lang w:eastAsia="zh-CN"/>
        </w:rPr>
        <w:t>.</w:t>
      </w:r>
    </w:p>
    <w:p w14:paraId="05826C28" w14:textId="77777777" w:rsidR="00FE1AD7" w:rsidRDefault="00FE1AD7" w:rsidP="00CC52CE">
      <w:pPr>
        <w:spacing w:after="0" w:line="240" w:lineRule="auto"/>
        <w:jc w:val="both"/>
        <w:rPr>
          <w:b/>
        </w:rPr>
      </w:pPr>
    </w:p>
    <w:p w14:paraId="391AD3E3" w14:textId="77777777" w:rsidR="00FB64BF" w:rsidRPr="00915EF3" w:rsidRDefault="00FB64BF"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65726410" w14:textId="05D9D333" w:rsidR="00B3093E" w:rsidRPr="000E0F57" w:rsidRDefault="000E0F57" w:rsidP="000E0F57">
      <w:pPr>
        <w:pStyle w:val="BodyText"/>
        <w:numPr>
          <w:ilvl w:val="1"/>
          <w:numId w:val="42"/>
        </w:numPr>
        <w:tabs>
          <w:tab w:val="left" w:pos="0"/>
        </w:tabs>
        <w:spacing w:afterLines="50" w:line="240" w:lineRule="auto"/>
        <w:jc w:val="both"/>
        <w:rPr>
          <w:rFonts w:eastAsia="SimSun"/>
          <w:noProof/>
          <w:lang w:val="en-GB" w:eastAsia="zh-CN"/>
        </w:rPr>
      </w:pPr>
      <w:bookmarkStart w:id="2" w:name="_Ref134799315"/>
      <w:r w:rsidRPr="00AB6CE1">
        <w:rPr>
          <w:rFonts w:eastAsia="SimSun"/>
          <w:noProof/>
          <w:lang w:val="en-GB" w:eastAsia="zh-CN"/>
        </w:rPr>
        <w:t>Chairman’s Notes RAN1#11</w:t>
      </w:r>
      <w:r w:rsidR="00451CD4">
        <w:rPr>
          <w:rFonts w:eastAsia="SimSun"/>
          <w:noProof/>
          <w:lang w:val="en-GB" w:eastAsia="zh-CN"/>
        </w:rPr>
        <w:t>4</w:t>
      </w:r>
      <w:r w:rsidRPr="00AB6CE1">
        <w:rPr>
          <w:rFonts w:eastAsia="SimSun"/>
          <w:noProof/>
          <w:lang w:val="en-GB" w:eastAsia="zh-CN"/>
        </w:rPr>
        <w:t>,</w:t>
      </w:r>
      <w:r>
        <w:rPr>
          <w:rFonts w:eastAsia="SimSun"/>
          <w:noProof/>
          <w:lang w:val="en-GB" w:eastAsia="zh-CN"/>
        </w:rPr>
        <w:t xml:space="preserve"> </w:t>
      </w:r>
      <w:r w:rsidR="00451CD4">
        <w:rPr>
          <w:rFonts w:eastAsia="SimSun"/>
          <w:noProof/>
          <w:lang w:val="en-GB" w:eastAsia="zh-CN"/>
        </w:rPr>
        <w:t>Toulouse</w:t>
      </w:r>
      <w:r w:rsidRPr="00AB6CE1">
        <w:rPr>
          <w:rFonts w:eastAsia="SimSun"/>
          <w:noProof/>
          <w:lang w:val="en-GB" w:eastAsia="zh-CN"/>
        </w:rPr>
        <w:t xml:space="preserve">, </w:t>
      </w:r>
      <w:r w:rsidR="00451CD4">
        <w:rPr>
          <w:rFonts w:eastAsia="SimSun"/>
          <w:noProof/>
          <w:lang w:val="en-GB" w:eastAsia="zh-CN"/>
        </w:rPr>
        <w:t>France</w:t>
      </w:r>
      <w:r w:rsidRPr="00AB6CE1">
        <w:rPr>
          <w:rFonts w:eastAsia="SimSun"/>
          <w:noProof/>
          <w:lang w:val="en-GB" w:eastAsia="zh-CN"/>
        </w:rPr>
        <w:t xml:space="preserve">, </w:t>
      </w:r>
      <w:r w:rsidR="00451CD4">
        <w:rPr>
          <w:rFonts w:eastAsia="SimSun"/>
          <w:noProof/>
          <w:lang w:val="en-GB" w:eastAsia="zh-CN"/>
        </w:rPr>
        <w:t>August</w:t>
      </w:r>
      <w:r w:rsidRPr="00AB6CE1">
        <w:rPr>
          <w:rFonts w:eastAsia="SimSun"/>
          <w:noProof/>
          <w:lang w:val="en-GB" w:eastAsia="zh-CN"/>
        </w:rPr>
        <w:t xml:space="preserve"> 2</w:t>
      </w:r>
      <w:r w:rsidR="00451CD4">
        <w:rPr>
          <w:rFonts w:eastAsia="SimSun"/>
          <w:noProof/>
          <w:lang w:val="en-GB" w:eastAsia="zh-CN"/>
        </w:rPr>
        <w:t>1</w:t>
      </w:r>
      <w:r w:rsidR="00451CD4" w:rsidRPr="00451CD4">
        <w:rPr>
          <w:rFonts w:eastAsia="SimSun"/>
          <w:noProof/>
          <w:vertAlign w:val="superscript"/>
          <w:lang w:val="en-GB" w:eastAsia="zh-CN"/>
        </w:rPr>
        <w:t>st</w:t>
      </w:r>
      <w:r w:rsidRPr="00AB6CE1">
        <w:rPr>
          <w:rFonts w:eastAsia="SimSun"/>
          <w:noProof/>
          <w:lang w:val="en-GB" w:eastAsia="zh-CN"/>
        </w:rPr>
        <w:t xml:space="preserve"> </w:t>
      </w:r>
      <w:r>
        <w:rPr>
          <w:rFonts w:eastAsia="SimSun"/>
          <w:noProof/>
          <w:lang w:val="en-GB" w:eastAsia="zh-CN"/>
        </w:rPr>
        <w:t>– 2</w:t>
      </w:r>
      <w:r w:rsidR="00451CD4">
        <w:rPr>
          <w:rFonts w:eastAsia="SimSun"/>
          <w:noProof/>
          <w:lang w:val="en-GB" w:eastAsia="zh-CN"/>
        </w:rPr>
        <w:t>5</w:t>
      </w:r>
      <w:r w:rsidRPr="000E0F57">
        <w:rPr>
          <w:rFonts w:eastAsia="SimSun"/>
          <w:noProof/>
          <w:vertAlign w:val="superscript"/>
          <w:lang w:val="en-GB" w:eastAsia="zh-CN"/>
        </w:rPr>
        <w:t>th</w:t>
      </w:r>
      <w:r w:rsidRPr="00AB6CE1">
        <w:rPr>
          <w:rFonts w:eastAsia="SimSun"/>
          <w:noProof/>
          <w:lang w:val="en-GB" w:eastAsia="zh-CN"/>
        </w:rPr>
        <w:t>, 2023.</w:t>
      </w:r>
      <w:bookmarkEnd w:id="2"/>
    </w:p>
    <w:p w14:paraId="7BE1A897" w14:textId="77777777" w:rsidR="003517FB" w:rsidRPr="00B50364" w:rsidRDefault="003517FB" w:rsidP="00AB3CBB">
      <w:pPr>
        <w:pStyle w:val="Reference0"/>
        <w:keepLines w:val="0"/>
        <w:tabs>
          <w:tab w:val="clear" w:pos="432"/>
        </w:tabs>
        <w:suppressAutoHyphens w:val="0"/>
        <w:overflowPunct/>
        <w:autoSpaceDE/>
        <w:spacing w:after="60" w:line="240" w:lineRule="auto"/>
        <w:textAlignment w:val="auto"/>
      </w:pPr>
    </w:p>
    <w:sectPr w:rsidR="003517FB"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25C44" w14:textId="77777777" w:rsidR="00AC1E13" w:rsidRDefault="00AC1E13">
      <w:r>
        <w:separator/>
      </w:r>
    </w:p>
  </w:endnote>
  <w:endnote w:type="continuationSeparator" w:id="0">
    <w:p w14:paraId="65DAEDDE" w14:textId="77777777" w:rsidR="00AC1E13" w:rsidRDefault="00AC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Ericsson Hilda">
    <w:altName w:val="Calibri"/>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ËÎÌå"/>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¼¸²"/>
    <w:panose1 w:val="020B0600000101010101"/>
    <w:charset w:val="81"/>
    <w:family w:val="swiss"/>
    <w:pitch w:val="variable"/>
    <w:sig w:usb0="B00002AF" w:usb1="69D77CFB" w:usb2="00000030" w:usb3="00000000" w:csb0="0008009F" w:csb1="00000000"/>
  </w:font>
  <w:font w:name="FangSong_GB2312">
    <w:altName w:val="仿宋"/>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µ¸¿ò"/>
    <w:panose1 w:val="020B0600000101010101"/>
    <w:charset w:val="81"/>
    <w:family w:val="swiss"/>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4D4362E"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7DB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63032" w14:textId="77777777" w:rsidR="00AC1E13" w:rsidRDefault="00AC1E13">
      <w:r>
        <w:separator/>
      </w:r>
    </w:p>
  </w:footnote>
  <w:footnote w:type="continuationSeparator" w:id="0">
    <w:p w14:paraId="180B6B37" w14:textId="77777777" w:rsidR="00AC1E13" w:rsidRDefault="00AC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C62E1"/>
    <w:multiLevelType w:val="multilevel"/>
    <w:tmpl w:val="0ECC62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205425"/>
    <w:multiLevelType w:val="multilevel"/>
    <w:tmpl w:val="9288181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2" w15:restartNumberingAfterBreak="0">
    <w:nsid w:val="492E1D88"/>
    <w:multiLevelType w:val="hybridMultilevel"/>
    <w:tmpl w:val="90C082CA"/>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BBA5FB3"/>
    <w:multiLevelType w:val="hybridMultilevel"/>
    <w:tmpl w:val="22427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EC03FFE"/>
    <w:multiLevelType w:val="hybridMultilevel"/>
    <w:tmpl w:val="8B10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3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C5D5B"/>
    <w:multiLevelType w:val="hybridMultilevel"/>
    <w:tmpl w:val="EBA25B98"/>
    <w:lvl w:ilvl="0" w:tplc="4F54CFB8">
      <w:start w:val="1"/>
      <w:numFmt w:val="lowerLetter"/>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D5567"/>
    <w:multiLevelType w:val="hybridMultilevel"/>
    <w:tmpl w:val="EBA25B98"/>
    <w:lvl w:ilvl="0" w:tplc="FFFFFFFF">
      <w:start w:val="1"/>
      <w:numFmt w:val="lowerLetter"/>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73F0765"/>
    <w:multiLevelType w:val="hybridMultilevel"/>
    <w:tmpl w:val="BF46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583951388">
    <w:abstractNumId w:val="11"/>
  </w:num>
  <w:num w:numId="2" w16cid:durableId="1036736037">
    <w:abstractNumId w:val="44"/>
  </w:num>
  <w:num w:numId="3" w16cid:durableId="205921346">
    <w:abstractNumId w:val="13"/>
  </w:num>
  <w:num w:numId="4" w16cid:durableId="1036124540">
    <w:abstractNumId w:val="27"/>
  </w:num>
  <w:num w:numId="5" w16cid:durableId="1462579762">
    <w:abstractNumId w:val="8"/>
  </w:num>
  <w:num w:numId="6" w16cid:durableId="170876125">
    <w:abstractNumId w:val="39"/>
  </w:num>
  <w:num w:numId="7" w16cid:durableId="2119717028">
    <w:abstractNumId w:val="14"/>
  </w:num>
  <w:num w:numId="8" w16cid:durableId="149595570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133610">
    <w:abstractNumId w:val="43"/>
  </w:num>
  <w:num w:numId="10" w16cid:durableId="1248032619">
    <w:abstractNumId w:val="15"/>
  </w:num>
  <w:num w:numId="11" w16cid:durableId="1490630554">
    <w:abstractNumId w:val="2"/>
  </w:num>
  <w:num w:numId="12" w16cid:durableId="487020754">
    <w:abstractNumId w:val="12"/>
  </w:num>
  <w:num w:numId="13" w16cid:durableId="2099597818">
    <w:abstractNumId w:val="33"/>
  </w:num>
  <w:num w:numId="14" w16cid:durableId="1650983663">
    <w:abstractNumId w:val="5"/>
  </w:num>
  <w:num w:numId="15" w16cid:durableId="1783307431">
    <w:abstractNumId w:val="38"/>
  </w:num>
  <w:num w:numId="16" w16cid:durableId="282659425">
    <w:abstractNumId w:val="41"/>
  </w:num>
  <w:num w:numId="17" w16cid:durableId="1509519045">
    <w:abstractNumId w:val="35"/>
  </w:num>
  <w:num w:numId="18" w16cid:durableId="1964580761">
    <w:abstractNumId w:val="31"/>
  </w:num>
  <w:num w:numId="19" w16cid:durableId="1986348352">
    <w:abstractNumId w:val="7"/>
  </w:num>
  <w:num w:numId="20" w16cid:durableId="986859510">
    <w:abstractNumId w:val="26"/>
  </w:num>
  <w:num w:numId="21" w16cid:durableId="820930983">
    <w:abstractNumId w:val="3"/>
  </w:num>
  <w:num w:numId="22" w16cid:durableId="672877157">
    <w:abstractNumId w:val="9"/>
  </w:num>
  <w:num w:numId="23" w16cid:durableId="2054498757">
    <w:abstractNumId w:val="10"/>
  </w:num>
  <w:num w:numId="24" w16cid:durableId="139658663">
    <w:abstractNumId w:val="29"/>
  </w:num>
  <w:num w:numId="25" w16cid:durableId="269747976">
    <w:abstractNumId w:val="6"/>
  </w:num>
  <w:num w:numId="26" w16cid:durableId="1803882033">
    <w:abstractNumId w:val="30"/>
  </w:num>
  <w:num w:numId="27" w16cid:durableId="37121499">
    <w:abstractNumId w:val="19"/>
  </w:num>
  <w:num w:numId="28" w16cid:durableId="45031456">
    <w:abstractNumId w:val="22"/>
  </w:num>
  <w:num w:numId="29" w16cid:durableId="421223732">
    <w:abstractNumId w:val="4"/>
  </w:num>
  <w:num w:numId="30" w16cid:durableId="1214078467">
    <w:abstractNumId w:val="25"/>
  </w:num>
  <w:num w:numId="31" w16cid:durableId="384330171">
    <w:abstractNumId w:val="46"/>
  </w:num>
  <w:num w:numId="32" w16cid:durableId="795562639">
    <w:abstractNumId w:val="23"/>
  </w:num>
  <w:num w:numId="33" w16cid:durableId="1706561785">
    <w:abstractNumId w:val="40"/>
  </w:num>
  <w:num w:numId="34" w16cid:durableId="1881480723">
    <w:abstractNumId w:val="24"/>
  </w:num>
  <w:num w:numId="35" w16cid:durableId="1432511558">
    <w:abstractNumId w:val="34"/>
  </w:num>
  <w:num w:numId="36" w16cid:durableId="237595012">
    <w:abstractNumId w:val="18"/>
  </w:num>
  <w:num w:numId="37" w16cid:durableId="1973054380">
    <w:abstractNumId w:val="20"/>
  </w:num>
  <w:num w:numId="38" w16cid:durableId="2064600802">
    <w:abstractNumId w:val="42"/>
  </w:num>
  <w:num w:numId="39" w16cid:durableId="1497988730">
    <w:abstractNumId w:val="28"/>
  </w:num>
  <w:num w:numId="40" w16cid:durableId="690032633">
    <w:abstractNumId w:val="36"/>
  </w:num>
  <w:num w:numId="41" w16cid:durableId="448670615">
    <w:abstractNumId w:val="37"/>
  </w:num>
  <w:num w:numId="42" w16cid:durableId="1298609720">
    <w:abstractNumId w:val="21"/>
  </w:num>
  <w:num w:numId="43" w16cid:durableId="1731423862">
    <w:abstractNumId w:val="16"/>
  </w:num>
  <w:num w:numId="44" w16cid:durableId="1685790903">
    <w:abstractNumId w:val="47"/>
  </w:num>
  <w:num w:numId="45" w16cid:durableId="1006516488">
    <w:abstractNumId w:val="45"/>
  </w:num>
  <w:num w:numId="46" w16cid:durableId="2129273191">
    <w:abstractNumId w:val="17"/>
  </w:num>
  <w:num w:numId="47" w16cid:durableId="1023748225">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458"/>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2C8"/>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6C26"/>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CD4"/>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433"/>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4B0"/>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DF4"/>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E2C"/>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84D"/>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2FB1"/>
    <w:rsid w:val="007B302E"/>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0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3"/>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1B"/>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CD8"/>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C65"/>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38"/>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6F"/>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3E8"/>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5E2C"/>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D3B"/>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5B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A99"/>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42E"/>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Id w:val="1"/>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2 Char1,h2 Char1,Head2A Char,2 Char1,UNDERRUBRIK 1-2 Char,DO NOT USE_h2 Char,h21 Char,H2 Char Char,h2 Char Char,标题 2 Char,Header 2 Char,Header2 Char,22 Char,heading2 Char,2nd level Char,H21 Char,H22 Char,H23 Char,H24 Char,H25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24"/>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24"/>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24"/>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24"/>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789B-7D84-47B9-AF7F-5F6C2D2E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13508</TotalTime>
  <Pages>2</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Aris Papasakellariou 1</cp:lastModifiedBy>
  <cp:revision>95</cp:revision>
  <cp:lastPrinted>2015-10-31T09:51:00Z</cp:lastPrinted>
  <dcterms:created xsi:type="dcterms:W3CDTF">2023-05-03T21:20:00Z</dcterms:created>
  <dcterms:modified xsi:type="dcterms:W3CDTF">2023-09-29T21:04:00Z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